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73" w:rsidRDefault="006F6473" w:rsidP="006F6473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615440" cy="2186305"/>
                <wp:effectExtent l="0" t="0" r="3810" b="444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C7" w:rsidRDefault="002159C7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cs="Albany AMT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9BD7803" wp14:editId="74B20632">
                                  <wp:extent cx="1617345" cy="941705"/>
                                  <wp:effectExtent l="0" t="0" r="190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9C7" w:rsidRDefault="002159C7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2159C7" w:rsidRDefault="002159C7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Federaal Parket</w:t>
                            </w:r>
                          </w:p>
                          <w:p w:rsidR="002159C7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Wolstraat  66/1</w:t>
                            </w:r>
                          </w:p>
                          <w:p w:rsidR="002159C7" w:rsidRPr="006F6473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</w:pPr>
                            <w:r w:rsidRPr="006F6473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>B-1000 Brussel</w:t>
                            </w:r>
                          </w:p>
                          <w:p w:rsidR="002159C7" w:rsidRPr="006F6473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</w:pPr>
                            <w:r w:rsidRPr="006F6473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>tel +32 2 557 77 11</w:t>
                            </w:r>
                          </w:p>
                          <w:p w:rsidR="002159C7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fax +32 2 557 77 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06pt;margin-top:-36pt;width:127.2pt;height:17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" stroked="f">
                <v:textbox inset="0,0,0,0">
                  <w:txbxContent>
                    <w:p w:rsidR="002159C7" w:rsidRDefault="002159C7" w:rsidP="006F6473">
                      <w:pPr>
                        <w:pStyle w:val="Kop1"/>
                        <w:tabs>
                          <w:tab w:val="left" w:pos="0"/>
                        </w:tabs>
                        <w:spacing w:before="120" w:after="120"/>
                        <w:jc w:val="center"/>
                      </w:pPr>
                      <w:r>
                        <w:rPr>
                          <w:rFonts w:cs="Albany AMT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9BD7803" wp14:editId="74B20632">
                            <wp:extent cx="1617345" cy="941705"/>
                            <wp:effectExtent l="0" t="0" r="190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9C7" w:rsidRDefault="002159C7" w:rsidP="006F6473">
                      <w:pPr>
                        <w:pStyle w:val="Kop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</w:p>
                    <w:p w:rsidR="002159C7" w:rsidRDefault="002159C7" w:rsidP="006F6473">
                      <w:pPr>
                        <w:pStyle w:val="Kop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Federaal Parket</w:t>
                      </w:r>
                    </w:p>
                    <w:p w:rsidR="002159C7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Wolstraat  66/1</w:t>
                      </w:r>
                    </w:p>
                    <w:p w:rsidR="002159C7" w:rsidRPr="006F6473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BE"/>
                        </w:rPr>
                      </w:pPr>
                      <w:r w:rsidRPr="006F6473">
                        <w:rPr>
                          <w:rFonts w:ascii="Arial" w:hAnsi="Arial" w:cs="Arial"/>
                          <w:sz w:val="20"/>
                          <w:lang w:val="nl-BE"/>
                        </w:rPr>
                        <w:t>B-1000 Brussel</w:t>
                      </w:r>
                    </w:p>
                    <w:p w:rsidR="002159C7" w:rsidRPr="006F6473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BE"/>
                        </w:rPr>
                      </w:pPr>
                      <w:r w:rsidRPr="006F6473">
                        <w:rPr>
                          <w:rFonts w:ascii="Arial" w:hAnsi="Arial" w:cs="Arial"/>
                          <w:sz w:val="20"/>
                          <w:lang w:val="nl-BE"/>
                        </w:rPr>
                        <w:t>tel +32 2 557 77 11</w:t>
                      </w:r>
                    </w:p>
                    <w:p w:rsidR="002159C7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fax +32 2 557 77 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-471805</wp:posOffset>
                </wp:positionV>
                <wp:extent cx="1615440" cy="2186305"/>
                <wp:effectExtent l="2540" t="4445" r="127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C7" w:rsidRDefault="002159C7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cs="Albany AMT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FB36A7A" wp14:editId="2108CFB2">
                                  <wp:extent cx="1617345" cy="941705"/>
                                  <wp:effectExtent l="0" t="0" r="190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9C7" w:rsidRDefault="002159C7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2159C7" w:rsidRDefault="002159C7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Parquet Fédéral</w:t>
                            </w:r>
                          </w:p>
                          <w:p w:rsidR="002159C7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Rue aux Laines 66/1</w:t>
                            </w:r>
                          </w:p>
                          <w:p w:rsidR="002159C7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B-1000 Bruxelles</w:t>
                            </w:r>
                          </w:p>
                          <w:p w:rsidR="002159C7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tél +32 2 557 77 11</w:t>
                            </w:r>
                          </w:p>
                          <w:p w:rsidR="002159C7" w:rsidRDefault="002159C7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fax +32 2 557 77 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17.8pt;margin-top:-37.15pt;width:127.2pt;height:172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" stroked="f">
                <v:textbox inset="0,0,0,0">
                  <w:txbxContent>
                    <w:p w:rsidR="002159C7" w:rsidRDefault="002159C7" w:rsidP="006F6473">
                      <w:pPr>
                        <w:pStyle w:val="Kop1"/>
                        <w:tabs>
                          <w:tab w:val="left" w:pos="0"/>
                        </w:tabs>
                        <w:spacing w:before="120" w:after="120"/>
                        <w:jc w:val="center"/>
                      </w:pPr>
                      <w:r>
                        <w:rPr>
                          <w:rFonts w:cs="Albany AMT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FB36A7A" wp14:editId="2108CFB2">
                            <wp:extent cx="1617345" cy="941705"/>
                            <wp:effectExtent l="0" t="0" r="190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9C7" w:rsidRDefault="002159C7" w:rsidP="006F6473">
                      <w:pPr>
                        <w:pStyle w:val="Kop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</w:p>
                    <w:p w:rsidR="002159C7" w:rsidRDefault="002159C7" w:rsidP="006F6473">
                      <w:pPr>
                        <w:pStyle w:val="Kop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Parquet Fédéral</w:t>
                      </w:r>
                    </w:p>
                    <w:p w:rsidR="002159C7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Rue aux Laines 66/1</w:t>
                      </w:r>
                    </w:p>
                    <w:p w:rsidR="002159C7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B-1000 Bruxelles</w:t>
                      </w:r>
                    </w:p>
                    <w:p w:rsidR="002159C7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tél +32 2 557 77 11</w:t>
                      </w:r>
                    </w:p>
                    <w:p w:rsidR="002159C7" w:rsidRDefault="002159C7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fax +32 2 557 77 99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473" w:rsidRDefault="006F6473" w:rsidP="006F6473"/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454E89" w:rsidRDefault="00454E89" w:rsidP="006F6473">
      <w:pPr>
        <w:ind w:left="-180"/>
        <w:rPr>
          <w:rFonts w:ascii="Arial" w:hAnsi="Arial" w:cs="Arial"/>
          <w:sz w:val="20"/>
          <w:lang w:val="fr-FR"/>
        </w:rPr>
      </w:pPr>
    </w:p>
    <w:p w:rsidR="00454E89" w:rsidRDefault="00454E89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Pr="00AE684B" w:rsidRDefault="006F6473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Communiqué de presse du Parquet Fédéral</w:t>
      </w:r>
    </w:p>
    <w:p w:rsidR="00BF5195" w:rsidRPr="00AE684B" w:rsidRDefault="00BF519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</w:p>
    <w:p w:rsidR="001025BF" w:rsidRPr="00AE684B" w:rsidRDefault="001025BF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proofErr w:type="spellStart"/>
      <w:r w:rsidRPr="00AE684B">
        <w:rPr>
          <w:rFonts w:ascii="Arial" w:eastAsia="Calibri" w:hAnsi="Arial" w:cs="Arial"/>
          <w:b/>
          <w:sz w:val="28"/>
          <w:szCs w:val="28"/>
          <w:u w:val="single"/>
        </w:rPr>
        <w:t>Persbericht</w:t>
      </w:r>
      <w:proofErr w:type="spellEnd"/>
      <w:r w:rsidRPr="00AE684B">
        <w:rPr>
          <w:rFonts w:ascii="Arial" w:eastAsia="Calibri" w:hAnsi="Arial" w:cs="Arial"/>
          <w:b/>
          <w:sz w:val="28"/>
          <w:szCs w:val="28"/>
          <w:u w:val="single"/>
        </w:rPr>
        <w:t xml:space="preserve"> van het Federaal Parket</w:t>
      </w:r>
    </w:p>
    <w:p w:rsidR="00102FF5" w:rsidRPr="00AE684B" w:rsidRDefault="00102FF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02FF5" w:rsidRPr="00AE684B" w:rsidRDefault="00102FF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</w:rPr>
        <w:t>Press Release by the Federal Public Prosecutor’s Office</w:t>
      </w:r>
    </w:p>
    <w:p w:rsidR="006F6473" w:rsidRDefault="006F6473" w:rsidP="006F6473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02FF5" w:rsidRPr="00102FF5" w:rsidRDefault="00102FF5" w:rsidP="006F6473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9A72A9" w:rsidRDefault="00222471" w:rsidP="006F6473">
      <w:pPr>
        <w:jc w:val="both"/>
        <w:rPr>
          <w:rFonts w:ascii="Arial" w:eastAsia="Calibri" w:hAnsi="Arial" w:cs="Arial"/>
          <w:b/>
          <w:lang w:val="fr-FR"/>
        </w:rPr>
      </w:pPr>
      <w:r>
        <w:rPr>
          <w:rFonts w:ascii="Arial" w:eastAsia="Calibri" w:hAnsi="Arial" w:cs="Arial"/>
          <w:b/>
          <w:lang w:val="fr-FR"/>
        </w:rPr>
        <w:t>D1/042/17</w:t>
      </w:r>
    </w:p>
    <w:p w:rsidR="009A72A9" w:rsidRDefault="009A72A9" w:rsidP="006F6473">
      <w:pPr>
        <w:jc w:val="both"/>
        <w:rPr>
          <w:rFonts w:ascii="Arial" w:eastAsia="Calibri" w:hAnsi="Arial" w:cs="Arial"/>
          <w:b/>
          <w:lang w:val="fr-FR"/>
        </w:rPr>
      </w:pPr>
    </w:p>
    <w:p w:rsidR="006F6473" w:rsidRPr="009A72A9" w:rsidRDefault="00AE684B" w:rsidP="006F6473">
      <w:pPr>
        <w:jc w:val="both"/>
        <w:rPr>
          <w:rFonts w:ascii="Arial" w:eastAsia="Calibri" w:hAnsi="Arial" w:cs="Arial"/>
          <w:b/>
          <w:lang w:val="fr-FR"/>
        </w:rPr>
      </w:pPr>
      <w:r w:rsidRPr="009A72A9">
        <w:rPr>
          <w:rFonts w:ascii="Arial" w:eastAsia="Calibri" w:hAnsi="Arial" w:cs="Arial"/>
          <w:b/>
          <w:lang w:val="fr-FR"/>
        </w:rPr>
        <w:t xml:space="preserve">Brussel, </w:t>
      </w:r>
      <w:r w:rsidR="00C95C39">
        <w:rPr>
          <w:rFonts w:ascii="Arial" w:eastAsia="Calibri" w:hAnsi="Arial" w:cs="Arial"/>
          <w:b/>
          <w:lang w:val="fr-FR"/>
        </w:rPr>
        <w:t>4</w:t>
      </w:r>
      <w:r w:rsidR="00D577A0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="00D577A0">
        <w:rPr>
          <w:rFonts w:ascii="Arial" w:eastAsia="Calibri" w:hAnsi="Arial" w:cs="Arial"/>
          <w:b/>
          <w:lang w:val="fr-FR"/>
        </w:rPr>
        <w:t>november</w:t>
      </w:r>
      <w:proofErr w:type="spellEnd"/>
      <w:r w:rsidR="009A72A9" w:rsidRPr="009A72A9">
        <w:rPr>
          <w:rFonts w:ascii="Arial" w:eastAsia="Calibri" w:hAnsi="Arial" w:cs="Arial"/>
          <w:b/>
          <w:lang w:val="fr-FR"/>
        </w:rPr>
        <w:t xml:space="preserve"> 2017</w:t>
      </w:r>
    </w:p>
    <w:p w:rsidR="001025BF" w:rsidRPr="00C95C39" w:rsidRDefault="00AE684B" w:rsidP="006F6473">
      <w:pPr>
        <w:jc w:val="both"/>
        <w:rPr>
          <w:rFonts w:ascii="Arial" w:eastAsia="Calibri" w:hAnsi="Arial" w:cs="Arial"/>
          <w:b/>
        </w:rPr>
      </w:pPr>
      <w:proofErr w:type="spellStart"/>
      <w:r w:rsidRPr="00C95C39">
        <w:rPr>
          <w:rFonts w:ascii="Arial" w:eastAsia="Calibri" w:hAnsi="Arial" w:cs="Arial"/>
          <w:b/>
        </w:rPr>
        <w:t>Bruxelles</w:t>
      </w:r>
      <w:proofErr w:type="spellEnd"/>
      <w:r w:rsidR="001025BF" w:rsidRPr="00C95C39">
        <w:rPr>
          <w:rFonts w:ascii="Arial" w:eastAsia="Calibri" w:hAnsi="Arial" w:cs="Arial"/>
          <w:b/>
        </w:rPr>
        <w:t xml:space="preserve">, </w:t>
      </w:r>
      <w:r w:rsidRPr="00C95C39">
        <w:rPr>
          <w:rFonts w:ascii="Arial" w:eastAsia="Calibri" w:hAnsi="Arial" w:cs="Arial"/>
          <w:b/>
        </w:rPr>
        <w:t>le</w:t>
      </w:r>
      <w:r w:rsidR="00C95C39" w:rsidRPr="00C95C39">
        <w:rPr>
          <w:rFonts w:ascii="Arial" w:eastAsia="Calibri" w:hAnsi="Arial" w:cs="Arial"/>
          <w:b/>
        </w:rPr>
        <w:t xml:space="preserve"> 4 </w:t>
      </w:r>
      <w:proofErr w:type="spellStart"/>
      <w:r w:rsidR="00C95C39" w:rsidRPr="00C95C39">
        <w:rPr>
          <w:rFonts w:ascii="Arial" w:eastAsia="Calibri" w:hAnsi="Arial" w:cs="Arial"/>
          <w:b/>
        </w:rPr>
        <w:t>n</w:t>
      </w:r>
      <w:r w:rsidR="00D577A0" w:rsidRPr="00C95C39">
        <w:rPr>
          <w:rFonts w:ascii="Arial" w:eastAsia="Calibri" w:hAnsi="Arial" w:cs="Arial"/>
          <w:b/>
        </w:rPr>
        <w:t>ovembre</w:t>
      </w:r>
      <w:proofErr w:type="spellEnd"/>
      <w:r w:rsidR="009A72A9" w:rsidRPr="00C95C39">
        <w:rPr>
          <w:rFonts w:ascii="Arial" w:eastAsia="Calibri" w:hAnsi="Arial" w:cs="Arial"/>
          <w:b/>
        </w:rPr>
        <w:t xml:space="preserve"> 2017</w:t>
      </w:r>
    </w:p>
    <w:p w:rsidR="00102FF5" w:rsidRPr="00C95C39" w:rsidRDefault="00102FF5" w:rsidP="006F6473">
      <w:pPr>
        <w:jc w:val="both"/>
        <w:rPr>
          <w:rFonts w:ascii="Arial" w:eastAsia="Calibri" w:hAnsi="Arial" w:cs="Arial"/>
          <w:b/>
        </w:rPr>
      </w:pPr>
      <w:r w:rsidRPr="00C95C39">
        <w:rPr>
          <w:rFonts w:ascii="Arial" w:eastAsia="Calibri" w:hAnsi="Arial" w:cs="Arial"/>
          <w:b/>
        </w:rPr>
        <w:t xml:space="preserve">Brussels, </w:t>
      </w:r>
      <w:r w:rsidR="00C95C39">
        <w:rPr>
          <w:rFonts w:ascii="Arial" w:eastAsia="Calibri" w:hAnsi="Arial" w:cs="Arial"/>
          <w:b/>
        </w:rPr>
        <w:t>the 4</w:t>
      </w:r>
      <w:r w:rsidR="00C95C39" w:rsidRPr="00C95C39">
        <w:rPr>
          <w:rFonts w:ascii="Arial" w:eastAsia="Calibri" w:hAnsi="Arial" w:cs="Arial"/>
          <w:b/>
        </w:rPr>
        <w:t>th</w:t>
      </w:r>
      <w:r w:rsidR="00D577A0" w:rsidRPr="00C95C39">
        <w:rPr>
          <w:rFonts w:ascii="Arial" w:eastAsia="Calibri" w:hAnsi="Arial" w:cs="Arial"/>
          <w:b/>
        </w:rPr>
        <w:t xml:space="preserve"> of November</w:t>
      </w:r>
      <w:r w:rsidR="009A72A9" w:rsidRPr="00C95C39">
        <w:rPr>
          <w:rFonts w:ascii="Arial" w:eastAsia="Calibri" w:hAnsi="Arial" w:cs="Arial"/>
          <w:b/>
        </w:rPr>
        <w:t xml:space="preserve"> 2017</w:t>
      </w:r>
    </w:p>
    <w:p w:rsidR="001025BF" w:rsidRPr="00C95C39" w:rsidRDefault="001025BF" w:rsidP="006F6473">
      <w:pPr>
        <w:jc w:val="both"/>
        <w:rPr>
          <w:rFonts w:ascii="Arial" w:eastAsia="Calibri" w:hAnsi="Arial" w:cs="Arial"/>
          <w:sz w:val="20"/>
          <w:szCs w:val="20"/>
        </w:rPr>
      </w:pPr>
    </w:p>
    <w:p w:rsidR="00D577A0" w:rsidRPr="00C95C39" w:rsidRDefault="00D577A0" w:rsidP="00D577A0"/>
    <w:p w:rsidR="00D577A0" w:rsidRPr="00C95C39" w:rsidRDefault="00D577A0" w:rsidP="006F6473">
      <w:pPr>
        <w:jc w:val="both"/>
        <w:rPr>
          <w:rFonts w:ascii="Arial" w:eastAsia="Calibri" w:hAnsi="Arial" w:cs="Arial"/>
        </w:rPr>
      </w:pPr>
    </w:p>
    <w:p w:rsidR="00D577A0" w:rsidRDefault="00C95C39" w:rsidP="00D577A0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Het federaal parket heeft gisteren 3 november 2017 </w:t>
      </w:r>
      <w:r w:rsidR="00B21D1C">
        <w:rPr>
          <w:rFonts w:ascii="Arial" w:hAnsi="Arial" w:cs="Arial"/>
          <w:lang w:val="nl-BE"/>
        </w:rPr>
        <w:t>vijf</w:t>
      </w:r>
      <w:r>
        <w:rPr>
          <w:rFonts w:ascii="Arial" w:hAnsi="Arial" w:cs="Arial"/>
          <w:lang w:val="nl-BE"/>
        </w:rPr>
        <w:t xml:space="preserve"> </w:t>
      </w:r>
      <w:r w:rsidR="00D577A0" w:rsidRPr="00D577A0">
        <w:rPr>
          <w:rFonts w:ascii="Arial" w:hAnsi="Arial" w:cs="Arial"/>
          <w:lang w:val="nl-BE"/>
        </w:rPr>
        <w:t>Europese aanhoudingsbevelen ontvangen van de Spaanse autoriteiten.</w:t>
      </w:r>
    </w:p>
    <w:p w:rsidR="00B95449" w:rsidRPr="00D577A0" w:rsidRDefault="00B95449" w:rsidP="00D577A0">
      <w:pPr>
        <w:jc w:val="both"/>
        <w:rPr>
          <w:rFonts w:ascii="Arial" w:hAnsi="Arial" w:cs="Arial"/>
          <w:lang w:val="nl-BE"/>
        </w:rPr>
      </w:pPr>
    </w:p>
    <w:p w:rsidR="001472F8" w:rsidRPr="00B95449" w:rsidRDefault="00C95C39" w:rsidP="001472F8">
      <w:pPr>
        <w:jc w:val="both"/>
        <w:rPr>
          <w:rFonts w:ascii="Arial" w:hAnsi="Arial" w:cs="Arial"/>
          <w:lang w:val="fr-FR"/>
        </w:rPr>
      </w:pPr>
      <w:r w:rsidRPr="00B95449">
        <w:rPr>
          <w:rFonts w:ascii="Arial" w:hAnsi="Arial" w:cs="Arial"/>
          <w:lang w:val="fr-FR"/>
        </w:rPr>
        <w:t xml:space="preserve">Het </w:t>
      </w:r>
      <w:proofErr w:type="spellStart"/>
      <w:r w:rsidRPr="00B95449">
        <w:rPr>
          <w:rFonts w:ascii="Arial" w:hAnsi="Arial" w:cs="Arial"/>
          <w:lang w:val="fr-FR"/>
        </w:rPr>
        <w:t>betreft</w:t>
      </w:r>
      <w:proofErr w:type="spellEnd"/>
      <w:r w:rsidRPr="00B95449">
        <w:rPr>
          <w:rFonts w:ascii="Arial" w:hAnsi="Arial" w:cs="Arial"/>
          <w:lang w:val="fr-FR"/>
        </w:rPr>
        <w:t xml:space="preserve"> </w:t>
      </w:r>
      <w:r w:rsidR="002159C7" w:rsidRPr="00B95449">
        <w:rPr>
          <w:rFonts w:ascii="Arial" w:hAnsi="Arial" w:cs="Arial"/>
          <w:lang w:val="fr-FR"/>
        </w:rPr>
        <w:t xml:space="preserve">PUIGDEMONT CASAMAJO Carles, </w:t>
      </w:r>
      <w:r w:rsidR="001472F8" w:rsidRPr="00B95449">
        <w:rPr>
          <w:rFonts w:ascii="Arial" w:hAnsi="Arial" w:cs="Arial"/>
          <w:lang w:val="fr-FR"/>
        </w:rPr>
        <w:t>S</w:t>
      </w:r>
      <w:r w:rsidR="002159C7" w:rsidRPr="00B95449">
        <w:rPr>
          <w:rFonts w:ascii="Arial" w:hAnsi="Arial" w:cs="Arial"/>
          <w:lang w:val="fr-FR"/>
        </w:rPr>
        <w:t>ERRET ALEU Maria, COMIN OL</w:t>
      </w:r>
      <w:r w:rsidR="00B95449">
        <w:rPr>
          <w:rFonts w:ascii="Arial" w:hAnsi="Arial" w:cs="Arial"/>
          <w:lang w:val="fr-FR"/>
        </w:rPr>
        <w:t xml:space="preserve">IVERES Antoni, PUIG GORDI </w:t>
      </w:r>
      <w:proofErr w:type="spellStart"/>
      <w:r w:rsidR="00B95449">
        <w:rPr>
          <w:rFonts w:ascii="Arial" w:hAnsi="Arial" w:cs="Arial"/>
          <w:lang w:val="fr-FR"/>
        </w:rPr>
        <w:t>Lluis</w:t>
      </w:r>
      <w:proofErr w:type="spellEnd"/>
      <w:r w:rsidR="00B95449">
        <w:rPr>
          <w:rFonts w:ascii="Arial" w:hAnsi="Arial" w:cs="Arial"/>
          <w:lang w:val="fr-FR"/>
        </w:rPr>
        <w:t xml:space="preserve"> en</w:t>
      </w:r>
      <w:r w:rsidR="00B95449" w:rsidRPr="00B95449">
        <w:rPr>
          <w:rFonts w:ascii="Arial" w:hAnsi="Arial" w:cs="Arial"/>
          <w:lang w:val="fr-FR"/>
        </w:rPr>
        <w:t xml:space="preserve"> PONSATI OBIOLS </w:t>
      </w:r>
      <w:r w:rsidR="00B95449">
        <w:rPr>
          <w:rFonts w:ascii="Arial" w:hAnsi="Arial" w:cs="Arial"/>
          <w:lang w:val="fr-FR"/>
        </w:rPr>
        <w:t>Clara.</w:t>
      </w:r>
    </w:p>
    <w:p w:rsidR="00D577A0" w:rsidRPr="00B95449" w:rsidRDefault="00D577A0" w:rsidP="00D577A0">
      <w:pPr>
        <w:jc w:val="both"/>
        <w:rPr>
          <w:rFonts w:ascii="Arial" w:hAnsi="Arial" w:cs="Arial"/>
          <w:lang w:val="fr-FR"/>
        </w:rPr>
      </w:pPr>
    </w:p>
    <w:p w:rsidR="00D577A0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t>Vanaf het moment dat de betrokkenen worden aangetroffen en voor de onderzoeksrechter worden geleid heeft deze 24h de tijd om een beslissing te nemen.</w:t>
      </w:r>
    </w:p>
    <w:p w:rsidR="00D577A0" w:rsidRPr="00D577A0" w:rsidRDefault="00D577A0" w:rsidP="00D577A0">
      <w:pPr>
        <w:jc w:val="both"/>
        <w:rPr>
          <w:rFonts w:ascii="Arial" w:hAnsi="Arial" w:cs="Arial"/>
          <w:lang w:val="nl-BE"/>
        </w:rPr>
      </w:pPr>
    </w:p>
    <w:p w:rsidR="00D577A0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t>De onderzoeksrechter heeft de keuze uit een aantal beslissingen: hij kan beslissen om geen aanhoudingsmandaat af te leveren of hij kan wel een aanhoudingsmandaat afleveren maar eventueel de betrokkenen vrijlaten onder voorwaarden.</w:t>
      </w:r>
    </w:p>
    <w:p w:rsidR="00D577A0" w:rsidRDefault="00D577A0" w:rsidP="00D577A0">
      <w:pPr>
        <w:jc w:val="both"/>
        <w:rPr>
          <w:rFonts w:ascii="Arial" w:hAnsi="Arial" w:cs="Arial"/>
          <w:lang w:val="nl-BE"/>
        </w:rPr>
      </w:pPr>
    </w:p>
    <w:p w:rsidR="00D577A0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t>Indien er een aanhoudingsmandaat wordt afgeleverd door de onderzoeksrechter, wordt het dossier vervolgens voorgelegd aan de raadkamer van de rechtbank van ee</w:t>
      </w:r>
      <w:r w:rsidR="003866AE">
        <w:rPr>
          <w:rFonts w:ascii="Arial" w:hAnsi="Arial" w:cs="Arial"/>
          <w:lang w:val="nl-BE"/>
        </w:rPr>
        <w:t>rste aanleg</w:t>
      </w:r>
      <w:r w:rsidRPr="00D577A0">
        <w:rPr>
          <w:rFonts w:ascii="Arial" w:hAnsi="Arial" w:cs="Arial"/>
          <w:lang w:val="nl-BE"/>
        </w:rPr>
        <w:t xml:space="preserve"> die binnen de 15 dagen na de afgifte van het aanhoudingsmandaat moet beslissen of het Europees aanhoudingsbevel mag uitgevoerd worden.</w:t>
      </w:r>
    </w:p>
    <w:p w:rsidR="00D577A0" w:rsidRPr="00D577A0" w:rsidRDefault="00D577A0" w:rsidP="00D577A0">
      <w:pPr>
        <w:jc w:val="both"/>
        <w:rPr>
          <w:rFonts w:ascii="Arial" w:hAnsi="Arial" w:cs="Arial"/>
          <w:lang w:val="nl-BE"/>
        </w:rPr>
      </w:pPr>
    </w:p>
    <w:p w:rsidR="00D577A0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lastRenderedPageBreak/>
        <w:t>Indien één van de betrokken partijen het niet eens is met de beslissing van de raadkamer kan die beroep aantekenen en wordt het dossier voorgelegd a</w:t>
      </w:r>
      <w:r w:rsidR="003866AE">
        <w:rPr>
          <w:rFonts w:ascii="Arial" w:hAnsi="Arial" w:cs="Arial"/>
          <w:lang w:val="nl-BE"/>
        </w:rPr>
        <w:t>an het Hof van beroep</w:t>
      </w:r>
      <w:r w:rsidRPr="00D577A0">
        <w:rPr>
          <w:rFonts w:ascii="Arial" w:hAnsi="Arial" w:cs="Arial"/>
          <w:lang w:val="nl-BE"/>
        </w:rPr>
        <w:t>.</w:t>
      </w:r>
    </w:p>
    <w:p w:rsidR="00D577A0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t>Het Hof van beroep heeft op zijn beurt 15 dagen om een beslissing te nemen.</w:t>
      </w:r>
    </w:p>
    <w:p w:rsidR="00D577A0" w:rsidRPr="00D577A0" w:rsidRDefault="00D577A0" w:rsidP="00D577A0">
      <w:pPr>
        <w:jc w:val="both"/>
        <w:rPr>
          <w:rFonts w:ascii="Arial" w:hAnsi="Arial" w:cs="Arial"/>
          <w:lang w:val="nl-BE"/>
        </w:rPr>
      </w:pPr>
    </w:p>
    <w:p w:rsidR="009D3EAF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t>Een verder beroep bij het Hof van Cassatie is mogelijk indien één van de partijen het oneens is met de beslissing van het Hof van beroep.</w:t>
      </w:r>
    </w:p>
    <w:p w:rsidR="00D577A0" w:rsidRPr="00D577A0" w:rsidRDefault="00D577A0" w:rsidP="00D577A0">
      <w:pPr>
        <w:jc w:val="both"/>
        <w:rPr>
          <w:rFonts w:ascii="Arial" w:hAnsi="Arial" w:cs="Arial"/>
          <w:lang w:val="nl-BE"/>
        </w:rPr>
      </w:pPr>
      <w:r w:rsidRPr="00D577A0">
        <w:rPr>
          <w:rFonts w:ascii="Arial" w:hAnsi="Arial" w:cs="Arial"/>
          <w:lang w:val="nl-BE"/>
        </w:rPr>
        <w:t>Het Hof van Cassatie moet eveneens een beslissing nemen binnen de 15 dagen.</w:t>
      </w:r>
    </w:p>
    <w:p w:rsidR="00D577A0" w:rsidRPr="00D577A0" w:rsidRDefault="00D577A0" w:rsidP="00D577A0">
      <w:pPr>
        <w:jc w:val="both"/>
        <w:rPr>
          <w:rFonts w:ascii="Arial" w:hAnsi="Arial" w:cs="Arial"/>
          <w:lang w:val="nl-BE"/>
        </w:rPr>
      </w:pPr>
    </w:p>
    <w:p w:rsidR="00D577A0" w:rsidRPr="00D577A0" w:rsidRDefault="00D577A0" w:rsidP="00D577A0">
      <w:pPr>
        <w:jc w:val="both"/>
        <w:rPr>
          <w:rFonts w:ascii="Arial" w:hAnsi="Arial" w:cs="Arial"/>
          <w:lang w:val="nl-BE"/>
        </w:rPr>
      </w:pPr>
    </w:p>
    <w:p w:rsidR="00D577A0" w:rsidRPr="00222471" w:rsidRDefault="00D577A0" w:rsidP="00D577A0">
      <w:pPr>
        <w:jc w:val="center"/>
        <w:rPr>
          <w:rFonts w:ascii="Arial" w:hAnsi="Arial" w:cs="Arial"/>
          <w:lang w:val="fr-FR"/>
        </w:rPr>
      </w:pPr>
      <w:r w:rsidRPr="00222471">
        <w:rPr>
          <w:rFonts w:ascii="Arial" w:hAnsi="Arial" w:cs="Arial"/>
          <w:lang w:val="fr-FR"/>
        </w:rPr>
        <w:t>****</w:t>
      </w:r>
    </w:p>
    <w:p w:rsidR="00D577A0" w:rsidRPr="00222471" w:rsidRDefault="00D577A0" w:rsidP="00D577A0">
      <w:pPr>
        <w:jc w:val="both"/>
        <w:rPr>
          <w:rFonts w:ascii="Arial" w:hAnsi="Arial" w:cs="Arial"/>
          <w:lang w:val="fr-FR"/>
        </w:rPr>
      </w:pPr>
    </w:p>
    <w:p w:rsidR="00D577A0" w:rsidRDefault="00D577A0" w:rsidP="00D577A0">
      <w:pPr>
        <w:jc w:val="both"/>
        <w:rPr>
          <w:rFonts w:ascii="Arial" w:hAnsi="Arial" w:cs="Arial"/>
          <w:lang w:val="fr-FR"/>
        </w:rPr>
      </w:pPr>
      <w:r w:rsidRPr="00D577A0">
        <w:rPr>
          <w:rFonts w:ascii="Arial" w:hAnsi="Arial" w:cs="Arial"/>
          <w:lang w:val="fr-FR"/>
        </w:rPr>
        <w:t>Le p</w:t>
      </w:r>
      <w:r w:rsidR="003866AE">
        <w:rPr>
          <w:rFonts w:ascii="Arial" w:hAnsi="Arial" w:cs="Arial"/>
          <w:lang w:val="fr-FR"/>
        </w:rPr>
        <w:t>arqu</w:t>
      </w:r>
      <w:r w:rsidR="00B21D1C">
        <w:rPr>
          <w:rFonts w:ascii="Arial" w:hAnsi="Arial" w:cs="Arial"/>
          <w:lang w:val="fr-FR"/>
        </w:rPr>
        <w:t>et fédéral a reçu hier 3 novemb</w:t>
      </w:r>
      <w:r w:rsidR="003866AE">
        <w:rPr>
          <w:rFonts w:ascii="Arial" w:hAnsi="Arial" w:cs="Arial"/>
          <w:lang w:val="fr-FR"/>
        </w:rPr>
        <w:t>re</w:t>
      </w:r>
      <w:r w:rsidR="00B21D1C">
        <w:rPr>
          <w:rFonts w:ascii="Arial" w:hAnsi="Arial" w:cs="Arial"/>
          <w:lang w:val="fr-FR"/>
        </w:rPr>
        <w:t xml:space="preserve"> </w:t>
      </w:r>
      <w:r w:rsidR="003866AE">
        <w:rPr>
          <w:rFonts w:ascii="Arial" w:hAnsi="Arial" w:cs="Arial"/>
          <w:lang w:val="fr-FR"/>
        </w:rPr>
        <w:t>2017</w:t>
      </w:r>
      <w:r w:rsidRPr="00D577A0">
        <w:rPr>
          <w:rFonts w:ascii="Arial" w:hAnsi="Arial" w:cs="Arial"/>
          <w:lang w:val="fr-FR"/>
        </w:rPr>
        <w:t xml:space="preserve"> </w:t>
      </w:r>
      <w:r w:rsidR="00B21D1C">
        <w:rPr>
          <w:rFonts w:ascii="Arial" w:hAnsi="Arial" w:cs="Arial"/>
          <w:lang w:val="fr-FR"/>
        </w:rPr>
        <w:t>cinq</w:t>
      </w:r>
      <w:r w:rsidRPr="00D577A0">
        <w:rPr>
          <w:rFonts w:ascii="Arial" w:hAnsi="Arial" w:cs="Arial"/>
          <w:lang w:val="fr-FR"/>
        </w:rPr>
        <w:t xml:space="preserve"> mandats d’arrêt européens de la part des autorités espagnoles.</w:t>
      </w:r>
    </w:p>
    <w:p w:rsidR="00D577A0" w:rsidRPr="00D577A0" w:rsidRDefault="00D577A0" w:rsidP="00D577A0">
      <w:pPr>
        <w:jc w:val="both"/>
        <w:rPr>
          <w:rFonts w:ascii="Arial" w:hAnsi="Arial" w:cs="Arial"/>
          <w:lang w:val="fr-FR"/>
        </w:rPr>
      </w:pPr>
    </w:p>
    <w:p w:rsidR="00D577A0" w:rsidRDefault="003866AE" w:rsidP="00D577A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Cela concerne</w:t>
      </w:r>
      <w:r w:rsidRPr="003866AE">
        <w:rPr>
          <w:rFonts w:ascii="Arial" w:hAnsi="Arial" w:cs="Arial"/>
          <w:lang w:val="fr-FR"/>
        </w:rPr>
        <w:t xml:space="preserve"> PUIGDEMONT CASAMAJO Carles, SERRET ALEU Maria, COMIN OLIVERES Antoni, PUIG GORDI </w:t>
      </w:r>
      <w:proofErr w:type="spellStart"/>
      <w:r w:rsidRPr="003866AE">
        <w:rPr>
          <w:rFonts w:ascii="Arial" w:hAnsi="Arial" w:cs="Arial"/>
          <w:lang w:val="fr-FR"/>
        </w:rPr>
        <w:t>Lluis</w:t>
      </w:r>
      <w:proofErr w:type="spellEnd"/>
      <w:r w:rsidRPr="003866AE">
        <w:rPr>
          <w:rFonts w:ascii="Arial" w:hAnsi="Arial" w:cs="Arial"/>
          <w:lang w:val="fr-FR"/>
        </w:rPr>
        <w:t xml:space="preserve"> en PONSATI OBIOLS Clara.</w:t>
      </w:r>
    </w:p>
    <w:p w:rsidR="003866AE" w:rsidRDefault="003866AE" w:rsidP="00D577A0">
      <w:pPr>
        <w:jc w:val="both"/>
        <w:rPr>
          <w:rFonts w:ascii="Arial" w:hAnsi="Arial" w:cs="Arial"/>
          <w:lang w:val="fr-FR"/>
        </w:rPr>
      </w:pPr>
    </w:p>
    <w:p w:rsidR="00D577A0" w:rsidRDefault="00D577A0" w:rsidP="00D577A0">
      <w:pPr>
        <w:jc w:val="both"/>
        <w:rPr>
          <w:rFonts w:ascii="Arial" w:hAnsi="Arial" w:cs="Arial"/>
          <w:lang w:val="fr-FR"/>
        </w:rPr>
      </w:pPr>
      <w:r w:rsidRPr="00D577A0">
        <w:rPr>
          <w:rFonts w:ascii="Arial" w:hAnsi="Arial" w:cs="Arial"/>
          <w:lang w:val="fr-FR"/>
        </w:rPr>
        <w:t xml:space="preserve">Dès que les intéressés sont retrouvés et amenés devant le juge d’instruction, celui-ci </w:t>
      </w:r>
      <w:proofErr w:type="spellStart"/>
      <w:r w:rsidRPr="00D577A0">
        <w:rPr>
          <w:rFonts w:ascii="Arial" w:hAnsi="Arial" w:cs="Arial"/>
          <w:lang w:val="fr-FR"/>
        </w:rPr>
        <w:t>a</w:t>
      </w:r>
      <w:proofErr w:type="spellEnd"/>
      <w:r w:rsidRPr="00D577A0">
        <w:rPr>
          <w:rFonts w:ascii="Arial" w:hAnsi="Arial" w:cs="Arial"/>
          <w:lang w:val="fr-FR"/>
        </w:rPr>
        <w:t xml:space="preserve"> 24h pour prendre une décision.</w:t>
      </w:r>
      <w:r w:rsidRPr="00D577A0">
        <w:rPr>
          <w:rFonts w:ascii="Arial" w:hAnsi="Arial" w:cs="Arial"/>
          <w:lang w:val="fr-FR"/>
        </w:rPr>
        <w:cr/>
      </w:r>
      <w:r w:rsidRPr="00D577A0">
        <w:rPr>
          <w:rFonts w:ascii="Arial" w:hAnsi="Arial" w:cs="Arial"/>
          <w:lang w:val="fr-FR"/>
        </w:rPr>
        <w:br/>
        <w:t>Le juge d’instruction a le choix entre plusieurs décisions : il peut décider de ne pas délivrer de mandat d’arrêt ou il peut délivrer un mandat d’arrêt mais éventuellement libérer les intéressés sous certaines conditions.</w:t>
      </w:r>
    </w:p>
    <w:p w:rsidR="00D577A0" w:rsidRPr="00D577A0" w:rsidRDefault="00D577A0" w:rsidP="00D577A0">
      <w:pPr>
        <w:jc w:val="both"/>
        <w:rPr>
          <w:rFonts w:ascii="Arial" w:hAnsi="Arial" w:cs="Arial"/>
          <w:lang w:val="fr-FR"/>
        </w:rPr>
      </w:pPr>
    </w:p>
    <w:p w:rsidR="00D577A0" w:rsidRDefault="00D577A0" w:rsidP="00D577A0">
      <w:pPr>
        <w:jc w:val="both"/>
        <w:rPr>
          <w:rFonts w:ascii="Arial" w:hAnsi="Arial" w:cs="Arial"/>
          <w:lang w:val="fr-FR"/>
        </w:rPr>
      </w:pPr>
      <w:r w:rsidRPr="00D577A0">
        <w:rPr>
          <w:rFonts w:ascii="Arial" w:hAnsi="Arial" w:cs="Arial"/>
          <w:lang w:val="fr-FR"/>
        </w:rPr>
        <w:t>Si un mandat d’arrêt est délivré par le juge d’instruction, le dossier est ensuite soumis à la chambre du conseil du tribunal d</w:t>
      </w:r>
      <w:r w:rsidR="003866AE">
        <w:rPr>
          <w:rFonts w:ascii="Arial" w:hAnsi="Arial" w:cs="Arial"/>
          <w:lang w:val="fr-FR"/>
        </w:rPr>
        <w:t>e première instance</w:t>
      </w:r>
      <w:r w:rsidRPr="00D577A0">
        <w:rPr>
          <w:rFonts w:ascii="Arial" w:hAnsi="Arial" w:cs="Arial"/>
          <w:lang w:val="fr-FR"/>
        </w:rPr>
        <w:t>, qui doit décider dans les 15 jours suivant la délivrance du mandat d’arrêt si le mandat d’arrêt européen peut être exécuté.</w:t>
      </w:r>
      <w:r w:rsidRPr="00D577A0">
        <w:rPr>
          <w:rFonts w:ascii="Arial" w:hAnsi="Arial" w:cs="Arial"/>
          <w:lang w:val="fr-FR"/>
        </w:rPr>
        <w:cr/>
      </w:r>
      <w:r w:rsidRPr="00D577A0">
        <w:rPr>
          <w:rFonts w:ascii="Arial" w:hAnsi="Arial" w:cs="Arial"/>
          <w:lang w:val="fr-FR"/>
        </w:rPr>
        <w:br/>
        <w:t>Si l’une des parties concernées n’est pas d’accord avec la décision de la chambre du conseil, elle peut interjeter appel et le dossier est soumi</w:t>
      </w:r>
      <w:r w:rsidR="003866AE">
        <w:rPr>
          <w:rFonts w:ascii="Arial" w:hAnsi="Arial" w:cs="Arial"/>
          <w:lang w:val="fr-FR"/>
        </w:rPr>
        <w:t>s à la cour d’appel</w:t>
      </w:r>
      <w:r w:rsidRPr="00D577A0">
        <w:rPr>
          <w:rFonts w:ascii="Arial" w:hAnsi="Arial" w:cs="Arial"/>
          <w:lang w:val="fr-FR"/>
        </w:rPr>
        <w:t>.</w:t>
      </w:r>
    </w:p>
    <w:p w:rsidR="00D577A0" w:rsidRDefault="00D577A0" w:rsidP="00D577A0">
      <w:pPr>
        <w:jc w:val="both"/>
        <w:rPr>
          <w:rFonts w:ascii="Arial" w:hAnsi="Arial" w:cs="Arial"/>
          <w:lang w:val="fr-FR"/>
        </w:rPr>
      </w:pPr>
      <w:r w:rsidRPr="00D577A0">
        <w:rPr>
          <w:rFonts w:ascii="Arial" w:hAnsi="Arial" w:cs="Arial"/>
          <w:lang w:val="fr-FR"/>
        </w:rPr>
        <w:t>La cour d’appel a à son tour 15 jours pour prendre une décision.</w:t>
      </w:r>
    </w:p>
    <w:p w:rsidR="00D577A0" w:rsidRPr="00D577A0" w:rsidRDefault="00D577A0" w:rsidP="00D577A0">
      <w:pPr>
        <w:jc w:val="both"/>
        <w:rPr>
          <w:rFonts w:ascii="Arial" w:hAnsi="Arial" w:cs="Arial"/>
          <w:lang w:val="fr-FR"/>
        </w:rPr>
      </w:pPr>
    </w:p>
    <w:p w:rsidR="00C834AD" w:rsidRDefault="00D577A0" w:rsidP="00D577A0">
      <w:pPr>
        <w:jc w:val="both"/>
        <w:rPr>
          <w:rFonts w:ascii="Arial" w:hAnsi="Arial" w:cs="Arial"/>
          <w:lang w:val="fr-FR"/>
        </w:rPr>
      </w:pPr>
      <w:r w:rsidRPr="00D577A0">
        <w:rPr>
          <w:rFonts w:ascii="Arial" w:hAnsi="Arial" w:cs="Arial"/>
          <w:lang w:val="fr-FR"/>
        </w:rPr>
        <w:t>Un pourvoi en cassation est également possible si l’une des parties n’est pas d’accord avec la décision de la cour d’appel.</w:t>
      </w:r>
    </w:p>
    <w:p w:rsidR="00D577A0" w:rsidRPr="00D577A0" w:rsidRDefault="00D577A0" w:rsidP="00D577A0">
      <w:pPr>
        <w:jc w:val="both"/>
        <w:rPr>
          <w:rFonts w:ascii="Arial" w:hAnsi="Arial" w:cs="Arial"/>
          <w:lang w:val="fr-FR"/>
        </w:rPr>
      </w:pPr>
      <w:r w:rsidRPr="00D577A0">
        <w:rPr>
          <w:rFonts w:ascii="Arial" w:hAnsi="Arial" w:cs="Arial"/>
          <w:lang w:val="fr-FR"/>
        </w:rPr>
        <w:t>La Cour de cassation doit également prendre une décision dans les 15 jours.</w:t>
      </w:r>
    </w:p>
    <w:p w:rsidR="00D577A0" w:rsidRPr="00D577A0" w:rsidRDefault="00D577A0" w:rsidP="00D577A0">
      <w:pPr>
        <w:jc w:val="both"/>
        <w:rPr>
          <w:rFonts w:ascii="Arial" w:hAnsi="Arial" w:cs="Arial"/>
          <w:lang w:val="fr-FR"/>
        </w:rPr>
      </w:pPr>
    </w:p>
    <w:p w:rsidR="00D577A0" w:rsidRPr="00D577A0" w:rsidRDefault="00D577A0" w:rsidP="00D577A0">
      <w:pPr>
        <w:jc w:val="both"/>
        <w:rPr>
          <w:rFonts w:ascii="Arial" w:hAnsi="Arial" w:cs="Arial"/>
          <w:lang w:val="fr-FR"/>
        </w:rPr>
      </w:pPr>
    </w:p>
    <w:p w:rsidR="00D577A0" w:rsidRPr="00222471" w:rsidRDefault="00D577A0" w:rsidP="00D577A0">
      <w:pPr>
        <w:jc w:val="center"/>
        <w:rPr>
          <w:rFonts w:ascii="Arial" w:hAnsi="Arial" w:cs="Arial"/>
        </w:rPr>
      </w:pPr>
      <w:r w:rsidRPr="00222471">
        <w:rPr>
          <w:rFonts w:ascii="Arial" w:hAnsi="Arial" w:cs="Arial"/>
        </w:rPr>
        <w:t>****</w:t>
      </w:r>
    </w:p>
    <w:p w:rsidR="00D577A0" w:rsidRPr="00222471" w:rsidRDefault="00D577A0" w:rsidP="00D577A0">
      <w:pPr>
        <w:jc w:val="both"/>
        <w:rPr>
          <w:rFonts w:ascii="Arial" w:hAnsi="Arial" w:cs="Arial"/>
        </w:rPr>
      </w:pPr>
    </w:p>
    <w:p w:rsidR="00D577A0" w:rsidRPr="00222471" w:rsidRDefault="00D577A0" w:rsidP="00D577A0">
      <w:pPr>
        <w:jc w:val="both"/>
        <w:rPr>
          <w:rFonts w:ascii="Arial" w:hAnsi="Arial" w:cs="Arial"/>
        </w:rPr>
      </w:pPr>
    </w:p>
    <w:p w:rsidR="00D577A0" w:rsidRPr="00222471" w:rsidRDefault="00D577A0" w:rsidP="00D577A0">
      <w:pPr>
        <w:jc w:val="both"/>
        <w:rPr>
          <w:rFonts w:ascii="Arial" w:hAnsi="Arial" w:cs="Arial"/>
        </w:rPr>
      </w:pPr>
    </w:p>
    <w:p w:rsidR="00D577A0" w:rsidRPr="00222471" w:rsidRDefault="00D577A0" w:rsidP="00D577A0">
      <w:pPr>
        <w:jc w:val="both"/>
        <w:rPr>
          <w:rFonts w:ascii="Arial" w:hAnsi="Arial" w:cs="Arial"/>
        </w:rPr>
      </w:pPr>
    </w:p>
    <w:p w:rsidR="00D577A0" w:rsidRPr="00222471" w:rsidRDefault="00D577A0" w:rsidP="00D577A0">
      <w:pPr>
        <w:jc w:val="both"/>
        <w:rPr>
          <w:rFonts w:ascii="Arial" w:hAnsi="Arial" w:cs="Arial"/>
        </w:rPr>
      </w:pPr>
    </w:p>
    <w:p w:rsidR="00331956" w:rsidRDefault="00331956" w:rsidP="00D577A0">
      <w:pPr>
        <w:jc w:val="both"/>
        <w:rPr>
          <w:rFonts w:ascii="Arial" w:hAnsi="Arial" w:cs="Arial"/>
        </w:rPr>
      </w:pPr>
    </w:p>
    <w:p w:rsidR="001C39B2" w:rsidRDefault="001C39B2" w:rsidP="00D577A0">
      <w:pPr>
        <w:jc w:val="both"/>
        <w:rPr>
          <w:rFonts w:ascii="Arial" w:hAnsi="Arial" w:cs="Arial"/>
        </w:rPr>
      </w:pPr>
      <w:bookmarkStart w:id="0" w:name="_GoBack"/>
      <w:bookmarkEnd w:id="0"/>
    </w:p>
    <w:p w:rsid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lastRenderedPageBreak/>
        <w:t>The Federal Public Prosecut</w:t>
      </w:r>
      <w:r w:rsidR="00B21D1C">
        <w:rPr>
          <w:rFonts w:ascii="Arial" w:hAnsi="Arial" w:cs="Arial"/>
        </w:rPr>
        <w:t>or's Office received yesterday 3 November 2017 five</w:t>
      </w:r>
      <w:r w:rsidRPr="00D577A0">
        <w:rPr>
          <w:rFonts w:ascii="Arial" w:hAnsi="Arial" w:cs="Arial"/>
        </w:rPr>
        <w:t xml:space="preserve"> European Arrest Warrants from the Spanish authorities.</w:t>
      </w:r>
    </w:p>
    <w:p w:rsidR="003866AE" w:rsidRPr="00D577A0" w:rsidRDefault="003866AE" w:rsidP="00D577A0">
      <w:pPr>
        <w:jc w:val="both"/>
        <w:rPr>
          <w:rFonts w:ascii="Arial" w:hAnsi="Arial" w:cs="Arial"/>
        </w:rPr>
      </w:pPr>
    </w:p>
    <w:p w:rsidR="003866AE" w:rsidRPr="003866AE" w:rsidRDefault="003866AE" w:rsidP="003866AE">
      <w:pPr>
        <w:jc w:val="both"/>
        <w:rPr>
          <w:rFonts w:ascii="Arial" w:hAnsi="Arial" w:cs="Arial"/>
          <w:lang w:val="fr-FR"/>
        </w:rPr>
      </w:pPr>
      <w:r w:rsidRPr="003866AE">
        <w:rPr>
          <w:rFonts w:ascii="Arial" w:hAnsi="Arial" w:cs="Arial"/>
          <w:lang w:val="fr-FR"/>
        </w:rPr>
        <w:t xml:space="preserve">It </w:t>
      </w:r>
      <w:proofErr w:type="spellStart"/>
      <w:r w:rsidRPr="003866AE">
        <w:rPr>
          <w:rFonts w:ascii="Arial" w:hAnsi="Arial" w:cs="Arial"/>
          <w:lang w:val="fr-FR"/>
        </w:rPr>
        <w:t>co</w:t>
      </w:r>
      <w:r>
        <w:rPr>
          <w:rFonts w:ascii="Arial" w:hAnsi="Arial" w:cs="Arial"/>
          <w:lang w:val="fr-FR"/>
        </w:rPr>
        <w:t>ncerns</w:t>
      </w:r>
      <w:proofErr w:type="spellEnd"/>
      <w:r w:rsidRPr="003866AE">
        <w:rPr>
          <w:rFonts w:ascii="Arial" w:hAnsi="Arial" w:cs="Arial"/>
          <w:lang w:val="fr-FR"/>
        </w:rPr>
        <w:t xml:space="preserve"> PUIGDEMONT CASAMAJO Carles, SERRET ALEU Maria, COMIN OLIVERES Antoni, PUIG GORDI </w:t>
      </w:r>
      <w:proofErr w:type="spellStart"/>
      <w:r w:rsidRPr="003866AE">
        <w:rPr>
          <w:rFonts w:ascii="Arial" w:hAnsi="Arial" w:cs="Arial"/>
          <w:lang w:val="fr-FR"/>
        </w:rPr>
        <w:t>Lluis</w:t>
      </w:r>
      <w:proofErr w:type="spellEnd"/>
      <w:r w:rsidRPr="003866AE">
        <w:rPr>
          <w:rFonts w:ascii="Arial" w:hAnsi="Arial" w:cs="Arial"/>
          <w:lang w:val="fr-FR"/>
        </w:rPr>
        <w:t xml:space="preserve"> en PONSATI OBIOLS Clara.</w:t>
      </w:r>
    </w:p>
    <w:p w:rsidR="00222471" w:rsidRPr="003866AE" w:rsidRDefault="00222471" w:rsidP="00D577A0">
      <w:pPr>
        <w:jc w:val="both"/>
        <w:rPr>
          <w:rFonts w:ascii="Arial" w:hAnsi="Arial" w:cs="Arial"/>
          <w:lang w:val="fr-FR"/>
        </w:rPr>
      </w:pPr>
    </w:p>
    <w:p w:rsid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Once the persons involved are found and brought before the Investigating Judge</w:t>
      </w:r>
      <w:r w:rsidRPr="00222471">
        <w:rPr>
          <w:rFonts w:ascii="Arial" w:hAnsi="Arial" w:cs="Arial"/>
        </w:rPr>
        <w:t>, this one has 24h to make a decision.</w:t>
      </w:r>
    </w:p>
    <w:p w:rsidR="00222471" w:rsidRPr="00D577A0" w:rsidRDefault="00222471" w:rsidP="00D577A0">
      <w:pPr>
        <w:jc w:val="both"/>
        <w:rPr>
          <w:rFonts w:ascii="Arial" w:hAnsi="Arial" w:cs="Arial"/>
        </w:rPr>
      </w:pPr>
    </w:p>
    <w:p w:rsidR="00D577A0" w:rsidRP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The Investigating Judge has different options: he can decide not to issue an arrest warrant or he can issue an arrest warrant but possibly release the persons concerned under certain conditions.</w:t>
      </w:r>
    </w:p>
    <w:p w:rsidR="00222471" w:rsidRDefault="00222471" w:rsidP="00D577A0">
      <w:pPr>
        <w:jc w:val="both"/>
        <w:rPr>
          <w:rFonts w:ascii="Arial" w:hAnsi="Arial" w:cs="Arial"/>
        </w:rPr>
      </w:pPr>
    </w:p>
    <w:p w:rsid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If an arrest warrant is issued by the Investigating Judge, the file is then submitted to the Pre-Trial Chamber of the Cou</w:t>
      </w:r>
      <w:r w:rsidR="003866AE">
        <w:rPr>
          <w:rFonts w:ascii="Arial" w:hAnsi="Arial" w:cs="Arial"/>
        </w:rPr>
        <w:t>rt of first instance</w:t>
      </w:r>
      <w:r w:rsidR="00331956">
        <w:rPr>
          <w:rFonts w:ascii="Arial" w:hAnsi="Arial" w:cs="Arial"/>
        </w:rPr>
        <w:t xml:space="preserve">, which must decide within </w:t>
      </w:r>
      <w:r w:rsidRPr="00D577A0">
        <w:rPr>
          <w:rFonts w:ascii="Arial" w:hAnsi="Arial" w:cs="Arial"/>
        </w:rPr>
        <w:t>15 days following the date of issue of  the arrest warrant whether the European Arrest Warrant shall be executed.</w:t>
      </w:r>
    </w:p>
    <w:p w:rsidR="00222471" w:rsidRPr="00D577A0" w:rsidRDefault="00222471" w:rsidP="00D577A0">
      <w:pPr>
        <w:jc w:val="both"/>
        <w:rPr>
          <w:rFonts w:ascii="Arial" w:hAnsi="Arial" w:cs="Arial"/>
        </w:rPr>
      </w:pPr>
    </w:p>
    <w:p w:rsid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If one of the parties involved disagrees with the decision of the Pre-Trial Chamber, it may lodge an appeal and the file shall be submitted to</w:t>
      </w:r>
      <w:r w:rsidR="003866AE">
        <w:rPr>
          <w:rFonts w:ascii="Arial" w:hAnsi="Arial" w:cs="Arial"/>
        </w:rPr>
        <w:t xml:space="preserve"> the Court of Appeal</w:t>
      </w:r>
      <w:r w:rsidRPr="00D577A0">
        <w:rPr>
          <w:rFonts w:ascii="Arial" w:hAnsi="Arial" w:cs="Arial"/>
        </w:rPr>
        <w:t>.</w:t>
      </w:r>
    </w:p>
    <w:p w:rsid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The Court of Appeal, in turn, has 15 days to take a decision.</w:t>
      </w:r>
    </w:p>
    <w:p w:rsidR="00222471" w:rsidRPr="00D577A0" w:rsidRDefault="00222471" w:rsidP="00D577A0">
      <w:pPr>
        <w:jc w:val="both"/>
        <w:rPr>
          <w:rFonts w:ascii="Arial" w:hAnsi="Arial" w:cs="Arial"/>
        </w:rPr>
      </w:pPr>
    </w:p>
    <w:p w:rsidR="00331956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A further appeal to the Court of Cassation is possible if one of the parties disagrees with the decision of the Court of Appeal.</w:t>
      </w:r>
    </w:p>
    <w:p w:rsidR="00D577A0" w:rsidRPr="00D577A0" w:rsidRDefault="00D577A0" w:rsidP="00D577A0">
      <w:pPr>
        <w:jc w:val="both"/>
        <w:rPr>
          <w:rFonts w:ascii="Arial" w:hAnsi="Arial" w:cs="Arial"/>
        </w:rPr>
      </w:pPr>
      <w:r w:rsidRPr="00D577A0">
        <w:rPr>
          <w:rFonts w:ascii="Arial" w:hAnsi="Arial" w:cs="Arial"/>
        </w:rPr>
        <w:t>The Court of Cassation must also give a decision within 15 days.</w:t>
      </w:r>
    </w:p>
    <w:p w:rsidR="00B65674" w:rsidRPr="00D577A0" w:rsidRDefault="00B65674" w:rsidP="00D577A0">
      <w:pPr>
        <w:jc w:val="both"/>
        <w:rPr>
          <w:rFonts w:ascii="Arial" w:eastAsia="Calibri" w:hAnsi="Arial" w:cs="Arial"/>
        </w:rPr>
      </w:pPr>
    </w:p>
    <w:sectPr w:rsidR="00B65674" w:rsidRPr="00D577A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C7" w:rsidRDefault="002159C7">
      <w:r>
        <w:separator/>
      </w:r>
    </w:p>
  </w:endnote>
  <w:endnote w:type="continuationSeparator" w:id="0">
    <w:p w:rsidR="002159C7" w:rsidRDefault="002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1"/>
      <w:gridCol w:w="879"/>
      <w:gridCol w:w="3822"/>
    </w:tblGrid>
    <w:tr w:rsidR="002159C7" w:rsidTr="007C30D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159C7" w:rsidRPr="003F3E51" w:rsidRDefault="002159C7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159C7" w:rsidRPr="003F3E51" w:rsidRDefault="002159C7" w:rsidP="007C30D0">
          <w:pPr>
            <w:pStyle w:val="Geenafstand"/>
            <w:rPr>
              <w:rFonts w:ascii="Cambria" w:hAnsi="Cambria"/>
            </w:rPr>
          </w:pPr>
          <w:r w:rsidRPr="003F3E51">
            <w:rPr>
              <w:rFonts w:ascii="Cambria" w:hAnsi="Cambria"/>
              <w:b/>
              <w:bCs/>
              <w:lang w:val="nl-NL"/>
            </w:rPr>
            <w:t>Pa</w:t>
          </w:r>
          <w:r>
            <w:rPr>
              <w:rFonts w:ascii="Cambria" w:hAnsi="Cambria"/>
              <w:b/>
              <w:bCs/>
              <w:lang w:val="nl-NL"/>
            </w:rPr>
            <w:t>ge</w:t>
          </w:r>
          <w:r w:rsidRPr="003F3E51">
            <w:rPr>
              <w:rFonts w:ascii="Cambria" w:hAnsi="Cambria"/>
              <w:b/>
              <w:bCs/>
              <w:lang w:val="nl-NL"/>
            </w:rPr>
            <w:t xml:space="preserve"> </w:t>
          </w:r>
          <w:r w:rsidRPr="003F3E51">
            <w:fldChar w:fldCharType="begin"/>
          </w:r>
          <w:r>
            <w:instrText>PAGE  \* MERGEFORMAT</w:instrText>
          </w:r>
          <w:r w:rsidRPr="003F3E51">
            <w:fldChar w:fldCharType="separate"/>
          </w:r>
          <w:r w:rsidR="001C39B2" w:rsidRPr="001C39B2">
            <w:rPr>
              <w:rFonts w:ascii="Cambria" w:hAnsi="Cambria"/>
              <w:b/>
              <w:bCs/>
              <w:noProof/>
              <w:lang w:val="nl-NL"/>
            </w:rPr>
            <w:t>3</w:t>
          </w:r>
          <w:r w:rsidRPr="003F3E5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159C7" w:rsidRPr="003F3E51" w:rsidRDefault="002159C7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</w:tr>
    <w:tr w:rsidR="002159C7" w:rsidTr="007C30D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159C7" w:rsidRPr="003F3E51" w:rsidRDefault="002159C7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2159C7" w:rsidRPr="003F3E51" w:rsidRDefault="002159C7">
          <w:pPr>
            <w:pStyle w:val="Koptekst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159C7" w:rsidRPr="003F3E51" w:rsidRDefault="002159C7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</w:tr>
  </w:tbl>
  <w:p w:rsidR="002159C7" w:rsidRDefault="002159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C7" w:rsidRDefault="002159C7">
      <w:r>
        <w:separator/>
      </w:r>
    </w:p>
  </w:footnote>
  <w:footnote w:type="continuationSeparator" w:id="0">
    <w:p w:rsidR="002159C7" w:rsidRDefault="0021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B3E"/>
    <w:multiLevelType w:val="hybridMultilevel"/>
    <w:tmpl w:val="4AEE1750"/>
    <w:lvl w:ilvl="0" w:tplc="55EA4884">
      <w:start w:val="2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46BE"/>
    <w:multiLevelType w:val="hybridMultilevel"/>
    <w:tmpl w:val="58424456"/>
    <w:lvl w:ilvl="0" w:tplc="317A6CD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3"/>
    <w:rsid w:val="00003B8A"/>
    <w:rsid w:val="00010976"/>
    <w:rsid w:val="00016D5B"/>
    <w:rsid w:val="00027C49"/>
    <w:rsid w:val="00030A06"/>
    <w:rsid w:val="00051A12"/>
    <w:rsid w:val="000A54FF"/>
    <w:rsid w:val="000A55BA"/>
    <w:rsid w:val="000A6D43"/>
    <w:rsid w:val="000B25C1"/>
    <w:rsid w:val="000B74B0"/>
    <w:rsid w:val="000D0869"/>
    <w:rsid w:val="000D1A30"/>
    <w:rsid w:val="000D32F4"/>
    <w:rsid w:val="000E075E"/>
    <w:rsid w:val="000F2480"/>
    <w:rsid w:val="000F5205"/>
    <w:rsid w:val="00100155"/>
    <w:rsid w:val="001025BF"/>
    <w:rsid w:val="00102FF5"/>
    <w:rsid w:val="00111F85"/>
    <w:rsid w:val="001220F6"/>
    <w:rsid w:val="001306D0"/>
    <w:rsid w:val="001361C0"/>
    <w:rsid w:val="00145632"/>
    <w:rsid w:val="001472F8"/>
    <w:rsid w:val="00164867"/>
    <w:rsid w:val="00165ACE"/>
    <w:rsid w:val="001704F4"/>
    <w:rsid w:val="0017227A"/>
    <w:rsid w:val="0017419E"/>
    <w:rsid w:val="00177A75"/>
    <w:rsid w:val="001842B4"/>
    <w:rsid w:val="00184F86"/>
    <w:rsid w:val="00193F3B"/>
    <w:rsid w:val="001A3F97"/>
    <w:rsid w:val="001C39B2"/>
    <w:rsid w:val="001E160A"/>
    <w:rsid w:val="001E4F7C"/>
    <w:rsid w:val="002012E1"/>
    <w:rsid w:val="00204773"/>
    <w:rsid w:val="0020564D"/>
    <w:rsid w:val="002159C7"/>
    <w:rsid w:val="00222471"/>
    <w:rsid w:val="00256403"/>
    <w:rsid w:val="002865E4"/>
    <w:rsid w:val="00295CA4"/>
    <w:rsid w:val="002A2686"/>
    <w:rsid w:val="002B087D"/>
    <w:rsid w:val="002B0C8A"/>
    <w:rsid w:val="002E7D2D"/>
    <w:rsid w:val="002F3450"/>
    <w:rsid w:val="00331956"/>
    <w:rsid w:val="00365592"/>
    <w:rsid w:val="003733B7"/>
    <w:rsid w:val="003747F7"/>
    <w:rsid w:val="00382261"/>
    <w:rsid w:val="003866AE"/>
    <w:rsid w:val="003A217C"/>
    <w:rsid w:val="003A42D8"/>
    <w:rsid w:val="003E42DC"/>
    <w:rsid w:val="003E72A2"/>
    <w:rsid w:val="003E796D"/>
    <w:rsid w:val="004035A2"/>
    <w:rsid w:val="0043460C"/>
    <w:rsid w:val="00451367"/>
    <w:rsid w:val="00454E89"/>
    <w:rsid w:val="004571E7"/>
    <w:rsid w:val="004851DB"/>
    <w:rsid w:val="00486A2C"/>
    <w:rsid w:val="004964E5"/>
    <w:rsid w:val="004A7228"/>
    <w:rsid w:val="004D2B9D"/>
    <w:rsid w:val="004E3259"/>
    <w:rsid w:val="00502B20"/>
    <w:rsid w:val="00551A57"/>
    <w:rsid w:val="0057453B"/>
    <w:rsid w:val="00574F38"/>
    <w:rsid w:val="00581415"/>
    <w:rsid w:val="005938CF"/>
    <w:rsid w:val="00593A8D"/>
    <w:rsid w:val="00593C07"/>
    <w:rsid w:val="005D168E"/>
    <w:rsid w:val="005D4DE7"/>
    <w:rsid w:val="005D7028"/>
    <w:rsid w:val="00601B83"/>
    <w:rsid w:val="00636684"/>
    <w:rsid w:val="00653CFC"/>
    <w:rsid w:val="00660511"/>
    <w:rsid w:val="00680A5F"/>
    <w:rsid w:val="006E07CE"/>
    <w:rsid w:val="006F5995"/>
    <w:rsid w:val="006F6473"/>
    <w:rsid w:val="006F7245"/>
    <w:rsid w:val="00700CF2"/>
    <w:rsid w:val="00704C00"/>
    <w:rsid w:val="00724DB6"/>
    <w:rsid w:val="0073028B"/>
    <w:rsid w:val="007720B3"/>
    <w:rsid w:val="00784E28"/>
    <w:rsid w:val="00796A2C"/>
    <w:rsid w:val="007A5D6A"/>
    <w:rsid w:val="007C2CF8"/>
    <w:rsid w:val="007C30D0"/>
    <w:rsid w:val="007C4ECF"/>
    <w:rsid w:val="007F16E1"/>
    <w:rsid w:val="007F4A2C"/>
    <w:rsid w:val="00812608"/>
    <w:rsid w:val="00815627"/>
    <w:rsid w:val="0081626F"/>
    <w:rsid w:val="008323E1"/>
    <w:rsid w:val="00841A36"/>
    <w:rsid w:val="00846D3B"/>
    <w:rsid w:val="00852E84"/>
    <w:rsid w:val="00861B92"/>
    <w:rsid w:val="0086410C"/>
    <w:rsid w:val="00882A2B"/>
    <w:rsid w:val="00891459"/>
    <w:rsid w:val="00893782"/>
    <w:rsid w:val="00893AD9"/>
    <w:rsid w:val="0089715D"/>
    <w:rsid w:val="008D10F6"/>
    <w:rsid w:val="008D2687"/>
    <w:rsid w:val="008F34FF"/>
    <w:rsid w:val="00920D74"/>
    <w:rsid w:val="009278ED"/>
    <w:rsid w:val="00947613"/>
    <w:rsid w:val="00952661"/>
    <w:rsid w:val="00957359"/>
    <w:rsid w:val="009651E2"/>
    <w:rsid w:val="009735F7"/>
    <w:rsid w:val="0097419F"/>
    <w:rsid w:val="00982F0E"/>
    <w:rsid w:val="009830A8"/>
    <w:rsid w:val="00983EFC"/>
    <w:rsid w:val="009907E1"/>
    <w:rsid w:val="00994512"/>
    <w:rsid w:val="00994718"/>
    <w:rsid w:val="00996497"/>
    <w:rsid w:val="009A2E30"/>
    <w:rsid w:val="009A4BCF"/>
    <w:rsid w:val="009A6022"/>
    <w:rsid w:val="009A72A9"/>
    <w:rsid w:val="009D3DF7"/>
    <w:rsid w:val="009D3EAF"/>
    <w:rsid w:val="00A023B7"/>
    <w:rsid w:val="00A05BA3"/>
    <w:rsid w:val="00A073B9"/>
    <w:rsid w:val="00A119A0"/>
    <w:rsid w:val="00A1379A"/>
    <w:rsid w:val="00A200E3"/>
    <w:rsid w:val="00A306F3"/>
    <w:rsid w:val="00A429FB"/>
    <w:rsid w:val="00A53ECD"/>
    <w:rsid w:val="00A54A1C"/>
    <w:rsid w:val="00A65DFC"/>
    <w:rsid w:val="00A71D6A"/>
    <w:rsid w:val="00A95F31"/>
    <w:rsid w:val="00AA37FC"/>
    <w:rsid w:val="00AB42E1"/>
    <w:rsid w:val="00AE39AF"/>
    <w:rsid w:val="00AE684B"/>
    <w:rsid w:val="00AF077A"/>
    <w:rsid w:val="00B144A6"/>
    <w:rsid w:val="00B179C8"/>
    <w:rsid w:val="00B200EF"/>
    <w:rsid w:val="00B21C52"/>
    <w:rsid w:val="00B21D1C"/>
    <w:rsid w:val="00B3029A"/>
    <w:rsid w:val="00B63257"/>
    <w:rsid w:val="00B6518D"/>
    <w:rsid w:val="00B65674"/>
    <w:rsid w:val="00B816DD"/>
    <w:rsid w:val="00B83330"/>
    <w:rsid w:val="00B93AF3"/>
    <w:rsid w:val="00B94BB9"/>
    <w:rsid w:val="00B95449"/>
    <w:rsid w:val="00BA5F88"/>
    <w:rsid w:val="00BD109B"/>
    <w:rsid w:val="00BE4C54"/>
    <w:rsid w:val="00BF5195"/>
    <w:rsid w:val="00BF5721"/>
    <w:rsid w:val="00C05FE6"/>
    <w:rsid w:val="00C202CF"/>
    <w:rsid w:val="00C21E94"/>
    <w:rsid w:val="00C25B23"/>
    <w:rsid w:val="00C3289B"/>
    <w:rsid w:val="00C815E7"/>
    <w:rsid w:val="00C834AD"/>
    <w:rsid w:val="00C95C39"/>
    <w:rsid w:val="00CC17C9"/>
    <w:rsid w:val="00D15D8A"/>
    <w:rsid w:val="00D16DBF"/>
    <w:rsid w:val="00D4483C"/>
    <w:rsid w:val="00D51851"/>
    <w:rsid w:val="00D577A0"/>
    <w:rsid w:val="00D578AA"/>
    <w:rsid w:val="00D80A82"/>
    <w:rsid w:val="00D811C5"/>
    <w:rsid w:val="00DA030D"/>
    <w:rsid w:val="00DC2D41"/>
    <w:rsid w:val="00DD1B2F"/>
    <w:rsid w:val="00DD27DB"/>
    <w:rsid w:val="00DD47B3"/>
    <w:rsid w:val="00DD5619"/>
    <w:rsid w:val="00E00CC1"/>
    <w:rsid w:val="00E0154E"/>
    <w:rsid w:val="00E02D3F"/>
    <w:rsid w:val="00E2479F"/>
    <w:rsid w:val="00E30B8B"/>
    <w:rsid w:val="00E5325A"/>
    <w:rsid w:val="00E54016"/>
    <w:rsid w:val="00E6604B"/>
    <w:rsid w:val="00E90DC9"/>
    <w:rsid w:val="00E91585"/>
    <w:rsid w:val="00E946AC"/>
    <w:rsid w:val="00E96685"/>
    <w:rsid w:val="00EB684C"/>
    <w:rsid w:val="00EC5F57"/>
    <w:rsid w:val="00EE28C0"/>
    <w:rsid w:val="00EE54FD"/>
    <w:rsid w:val="00F33A53"/>
    <w:rsid w:val="00F444A4"/>
    <w:rsid w:val="00F47EC1"/>
    <w:rsid w:val="00F84062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F6473"/>
    <w:pPr>
      <w:keepNext/>
      <w:outlineLvl w:val="0"/>
    </w:pPr>
    <w:rPr>
      <w:rFonts w:ascii="Arial" w:hAnsi="Arial" w:cs="Arial"/>
      <w:b/>
      <w:bCs/>
      <w:sz w:val="1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6473"/>
    <w:rPr>
      <w:rFonts w:ascii="Arial" w:eastAsia="Times New Roman" w:hAnsi="Arial" w:cs="Arial"/>
      <w:b/>
      <w:bCs/>
      <w:sz w:val="16"/>
      <w:szCs w:val="24"/>
      <w:lang w:val="nl-NL"/>
    </w:rPr>
  </w:style>
  <w:style w:type="paragraph" w:styleId="Koptekst">
    <w:name w:val="header"/>
    <w:basedOn w:val="Standaard"/>
    <w:link w:val="KoptekstChar"/>
    <w:uiPriority w:val="99"/>
    <w:rsid w:val="006F6473"/>
    <w:pPr>
      <w:tabs>
        <w:tab w:val="center" w:pos="4536"/>
        <w:tab w:val="right" w:pos="9072"/>
      </w:tabs>
    </w:pPr>
    <w:rPr>
      <w:rFonts w:ascii="Times" w:eastAsia="Times" w:hAnsi="Times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6F6473"/>
    <w:rPr>
      <w:rFonts w:ascii="Times" w:eastAsia="Times" w:hAnsi="Times" w:cs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6F64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6473"/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link w:val="GeenafstandChar"/>
    <w:uiPriority w:val="1"/>
    <w:qFormat/>
    <w:rsid w:val="006F647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GeenafstandChar">
    <w:name w:val="Geen afstand Char"/>
    <w:link w:val="Geenafstand"/>
    <w:uiPriority w:val="1"/>
    <w:rsid w:val="006F6473"/>
    <w:rPr>
      <w:rFonts w:ascii="Calibri" w:eastAsia="Times New Roman" w:hAnsi="Calibri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4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473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Standaard"/>
    <w:rsid w:val="006F6473"/>
    <w:pPr>
      <w:widowControl w:val="0"/>
      <w:spacing w:line="240" w:lineRule="atLeast"/>
      <w:jc w:val="both"/>
    </w:pPr>
    <w:rPr>
      <w:rFonts w:ascii="Arial" w:hAnsi="Arial"/>
      <w:color w:val="000000"/>
      <w:sz w:val="22"/>
      <w:szCs w:val="20"/>
      <w:lang w:val="fr-FR" w:eastAsia="fr-FR"/>
    </w:rPr>
  </w:style>
  <w:style w:type="paragraph" w:styleId="Plattetekstinspringen">
    <w:name w:val="Body Text Indent"/>
    <w:basedOn w:val="Standaard"/>
    <w:link w:val="PlattetekstinspringenChar"/>
    <w:semiHidden/>
    <w:rsid w:val="00B200EF"/>
    <w:pPr>
      <w:ind w:left="360"/>
    </w:pPr>
    <w:rPr>
      <w:b/>
      <w:bCs/>
      <w:sz w:val="28"/>
      <w:u w:val="single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200EF"/>
    <w:rPr>
      <w:rFonts w:ascii="Times New Roman" w:eastAsia="Times New Roman" w:hAnsi="Times New Roman" w:cs="Times New Roman"/>
      <w:b/>
      <w:bCs/>
      <w:sz w:val="28"/>
      <w:szCs w:val="24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6F59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F8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F6473"/>
    <w:pPr>
      <w:keepNext/>
      <w:outlineLvl w:val="0"/>
    </w:pPr>
    <w:rPr>
      <w:rFonts w:ascii="Arial" w:hAnsi="Arial" w:cs="Arial"/>
      <w:b/>
      <w:bCs/>
      <w:sz w:val="1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6473"/>
    <w:rPr>
      <w:rFonts w:ascii="Arial" w:eastAsia="Times New Roman" w:hAnsi="Arial" w:cs="Arial"/>
      <w:b/>
      <w:bCs/>
      <w:sz w:val="16"/>
      <w:szCs w:val="24"/>
      <w:lang w:val="nl-NL"/>
    </w:rPr>
  </w:style>
  <w:style w:type="paragraph" w:styleId="Koptekst">
    <w:name w:val="header"/>
    <w:basedOn w:val="Standaard"/>
    <w:link w:val="KoptekstChar"/>
    <w:uiPriority w:val="99"/>
    <w:rsid w:val="006F6473"/>
    <w:pPr>
      <w:tabs>
        <w:tab w:val="center" w:pos="4536"/>
        <w:tab w:val="right" w:pos="9072"/>
      </w:tabs>
    </w:pPr>
    <w:rPr>
      <w:rFonts w:ascii="Times" w:eastAsia="Times" w:hAnsi="Times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6F6473"/>
    <w:rPr>
      <w:rFonts w:ascii="Times" w:eastAsia="Times" w:hAnsi="Times" w:cs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6F64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6473"/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link w:val="GeenafstandChar"/>
    <w:uiPriority w:val="1"/>
    <w:qFormat/>
    <w:rsid w:val="006F647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GeenafstandChar">
    <w:name w:val="Geen afstand Char"/>
    <w:link w:val="Geenafstand"/>
    <w:uiPriority w:val="1"/>
    <w:rsid w:val="006F6473"/>
    <w:rPr>
      <w:rFonts w:ascii="Calibri" w:eastAsia="Times New Roman" w:hAnsi="Calibri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4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473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Standaard"/>
    <w:rsid w:val="006F6473"/>
    <w:pPr>
      <w:widowControl w:val="0"/>
      <w:spacing w:line="240" w:lineRule="atLeast"/>
      <w:jc w:val="both"/>
    </w:pPr>
    <w:rPr>
      <w:rFonts w:ascii="Arial" w:hAnsi="Arial"/>
      <w:color w:val="000000"/>
      <w:sz w:val="22"/>
      <w:szCs w:val="20"/>
      <w:lang w:val="fr-FR" w:eastAsia="fr-FR"/>
    </w:rPr>
  </w:style>
  <w:style w:type="paragraph" w:styleId="Plattetekstinspringen">
    <w:name w:val="Body Text Indent"/>
    <w:basedOn w:val="Standaard"/>
    <w:link w:val="PlattetekstinspringenChar"/>
    <w:semiHidden/>
    <w:rsid w:val="00B200EF"/>
    <w:pPr>
      <w:ind w:left="360"/>
    </w:pPr>
    <w:rPr>
      <w:b/>
      <w:bCs/>
      <w:sz w:val="28"/>
      <w:u w:val="single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200EF"/>
    <w:rPr>
      <w:rFonts w:ascii="Times New Roman" w:eastAsia="Times New Roman" w:hAnsi="Times New Roman" w:cs="Times New Roman"/>
      <w:b/>
      <w:bCs/>
      <w:sz w:val="28"/>
      <w:szCs w:val="24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6F59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F8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CB8-02D3-46D2-913D-EAD705C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AF4593D0.dotm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DELMULLE JOHAN</dc:creator>
  <cp:lastModifiedBy>Van der Sypt Eric</cp:lastModifiedBy>
  <cp:revision>9</cp:revision>
  <cp:lastPrinted>2016-08-17T13:17:00Z</cp:lastPrinted>
  <dcterms:created xsi:type="dcterms:W3CDTF">2017-11-03T14:54:00Z</dcterms:created>
  <dcterms:modified xsi:type="dcterms:W3CDTF">2017-11-04T10:25:00Z</dcterms:modified>
</cp:coreProperties>
</file>